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ВайбАгент для сети из пяти салонов</w:t>
      </w:r>
    </w:p>
    <w:p>
      <w:r>
        <w:rPr>
          <w:b/>
        </w:rPr>
        <w:t>Коммерческое предложение · черновик для менеджера · 16 октября 2026 года</w:t>
      </w:r>
    </w:p>
    <w:p>
      <w:r>
        <w:rPr>
          <w:b w:val="0"/>
        </w:rPr>
        <w:t>Начните с одного агента для управляющей команды: поручайте ему подготовку контента, документов и сводок по сети. Переход к пяти отдельным агентам имеет смысл, если пилот подтвердит необходимость разделить доступы, правила и работу салонов. Число точек само по себе не определяет число агентов.</w:t>
      </w:r>
    </w:p>
    <w:p>
      <w:pPr>
        <w:pStyle w:val="Heading1"/>
      </w:pPr>
      <w:r>
        <w:t>01. Два варианта запуска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/>
        </w:trPr>
        <w:tc>
          <w:tcPr>
            <w:tcW w:type="dxa" w:w="3437"/>
          </w:tcPr>
          <w:p>
            <w:r>
              <w:rPr>
                <w:b/>
                <w:sz w:val="18"/>
              </w:rPr>
              <w:t>Вариант</w:t>
            </w:r>
          </w:p>
        </w:tc>
        <w:tc>
          <w:tcPr>
            <w:tcW w:type="dxa" w:w="3437"/>
          </w:tcPr>
          <w:p>
            <w:r>
              <w:rPr>
                <w:b/>
                <w:sz w:val="18"/>
              </w:rPr>
              <w:t>Для чего</w:t>
            </w:r>
          </w:p>
        </w:tc>
        <w:tc>
          <w:tcPr>
            <w:tcW w:type="dxa" w:w="3437"/>
          </w:tcPr>
          <w:p>
            <w:r>
              <w:rPr>
                <w:b/>
                <w:sz w:val="18"/>
              </w:rPr>
              <w:t>Подписка в месяц*</w:t>
            </w:r>
          </w:p>
        </w:tc>
      </w:tr>
      <w:tr>
        <w:tc>
          <w:tcPr>
            <w:tcW w:type="dxa" w:w="3437"/>
          </w:tcPr>
          <w:p>
            <w:r>
              <w:rPr>
                <w:b w:val="0"/>
                <w:sz w:val="18"/>
              </w:rPr>
              <w:t>Один агент для управляющей команды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Общие материалы и сводки по пяти салонам; приоритеты задаёт один ответственный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от 14 990 ₽</w:t>
            </w:r>
          </w:p>
        </w:tc>
      </w:tr>
      <w:tr>
        <w:tc>
          <w:tcPr>
            <w:tcW w:type="dxa" w:w="3437"/>
          </w:tcPr>
          <w:p>
            <w:r>
              <w:rPr>
                <w:b w:val="0"/>
                <w:sz w:val="18"/>
              </w:rPr>
              <w:t>Пять отдельных агентов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По одному на салон, если нужны раздельные доступы и процессы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от 74 950 ₽</w:t>
            </w:r>
          </w:p>
        </w:tc>
      </w:tr>
    </w:tbl>
    <w:p/>
    <w:p>
      <w:r>
        <w:rPr>
          <w:b w:val="0"/>
        </w:rPr>
        <w:t xml:space="preserve">*Расчётный ориентир: 14 990 ₽ × число агентов. Это нижняя опубликованная цена тарифа «Вайб Агенты Профессиональный» на </w:t>
      </w:r>
      <w:hyperlink r:id="rId9">
        <w:r>
          <w:rPr>
            <w:color w:val="7043AA"/>
          </w:rPr>
          <w:t>странице приложения</w:t>
        </w:r>
      </w:hyperlink>
      <w:r>
        <w:rPr>
          <w:b w:val="0"/>
        </w:rPr>
        <w:t>. Условия команды, объём работы и окончательную цену нужно подтвердить до подключения. Доступ нескольких сотрудников и достаточность одного агента проверяются на пилоте.</w:t>
      </w:r>
    </w:p>
    <w:p>
      <w:pPr>
        <w:pStyle w:val="Heading1"/>
      </w:pPr>
      <w:r>
        <w:t>02. Что именно оплачивается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/>
        </w:trPr>
        <w:tc>
          <w:tcPr>
            <w:tcW w:type="dxa" w:w="3437"/>
          </w:tcPr>
          <w:p>
            <w:r>
              <w:rPr>
                <w:b/>
                <w:sz w:val="18"/>
              </w:rPr>
              <w:t>Статья</w:t>
            </w:r>
          </w:p>
        </w:tc>
        <w:tc>
          <w:tcPr>
            <w:tcW w:type="dxa" w:w="3437"/>
          </w:tcPr>
          <w:p>
            <w:r>
              <w:rPr>
                <w:b/>
                <w:sz w:val="18"/>
              </w:rPr>
              <w:t>Опубликованные условия</w:t>
            </w:r>
          </w:p>
        </w:tc>
        <w:tc>
          <w:tcPr>
            <w:tcW w:type="dxa" w:w="3437"/>
          </w:tcPr>
          <w:p>
            <w:r>
              <w:rPr>
                <w:b/>
                <w:sz w:val="18"/>
              </w:rPr>
              <w:t>В этом предложении</w:t>
            </w:r>
          </w:p>
        </w:tc>
      </w:tr>
      <w:tr>
        <w:tc>
          <w:tcPr>
            <w:tcW w:type="dxa" w:w="3437"/>
          </w:tcPr>
          <w:p>
            <w:r>
              <w:rPr>
                <w:b w:val="0"/>
                <w:sz w:val="18"/>
              </w:rPr>
              <w:t>Приложение ВайбАгент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Скачивание и приложения бесплатны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0 ₽ за приложение; агент оплачивается отдельно</w:t>
            </w:r>
          </w:p>
        </w:tc>
      </w:tr>
      <w:tr>
        <w:tc>
          <w:tcPr>
            <w:tcW w:type="dxa" w:w="3437"/>
          </w:tcPr>
          <w:p>
            <w:r>
              <w:rPr>
                <w:b w:val="0"/>
                <w:sz w:val="18"/>
              </w:rPr>
              <w:t>Подписка агента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На /app — от 14 990 ₽ в месяц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Ниже рассчитаны один и пять агентов на три месяца</w:t>
            </w:r>
          </w:p>
        </w:tc>
      </w:tr>
      <w:tr>
        <w:tc>
          <w:tcPr>
            <w:tcW w:type="dxa" w:w="3437"/>
          </w:tcPr>
          <w:p>
            <w:r>
              <w:rPr>
                <w:b w:val="0"/>
                <w:sz w:val="18"/>
              </w:rPr>
              <w:t>Разовый запуск сети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На /app заявлены установка и подключение за 24 часа; отдельная цена запуска сети не указана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Уточняется после брифа; не принята равной нулю</w:t>
            </w:r>
          </w:p>
        </w:tc>
      </w:tr>
      <w:tr>
        <w:tc>
          <w:tcPr>
            <w:tcW w:type="dxa" w:w="3437"/>
          </w:tcPr>
          <w:p>
            <w:r>
              <w:rPr>
                <w:b w:val="0"/>
                <w:sz w:val="18"/>
              </w:rPr>
              <w:t>Нестандартное внедрение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На главной — отдельные работы от 15 000 ₽ разово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Не включено автоматически; состав и цена для сети уточняются</w:t>
            </w:r>
          </w:p>
        </w:tc>
      </w:tr>
      <w:tr>
        <w:tc>
          <w:tcPr>
            <w:tcW w:type="dxa" w:w="3437"/>
          </w:tcPr>
          <w:p>
            <w:r>
              <w:rPr>
                <w:b w:val="0"/>
                <w:sz w:val="18"/>
              </w:rPr>
              <w:t>Генерации и сторонние услуги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На главной генерации указаны как отдельные расходы по прайсу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Уточняются по выбранным задачам и лимиту</w:t>
            </w:r>
          </w:p>
        </w:tc>
      </w:tr>
      <w:tr>
        <w:tc>
          <w:tcPr>
            <w:tcW w:type="dxa" w:w="3437"/>
          </w:tcPr>
          <w:p>
            <w:r>
              <w:rPr>
                <w:b w:val="0"/>
                <w:sz w:val="18"/>
              </w:rPr>
              <w:t>Рекламный бюджет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Оплачивается рекламным площадкам отдельно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В пилот не заложен; реклама не запускается</w:t>
            </w:r>
          </w:p>
        </w:tc>
      </w:tr>
    </w:tbl>
    <w:p/>
    <w:p>
      <w:r>
        <w:rPr>
          <w:b/>
        </w:rPr>
        <w:t>Цены на страницах различаются.</w:t>
      </w:r>
      <w:r>
        <w:rPr>
          <w:b w:val="0"/>
        </w:rPr>
        <w:t xml:space="preserve"> На /app и в блоке «Вайб Профессиональный» главной указано «от 14 990 ₽/мес», а в ряде других блоков главной — «от 15 000 ₽/мес». Для сравнения вариантов ниже используется 14 990 ₽. Это предварительная арифметика, а не зафиксированный тариф для сети. Разница должна быть уточнена менеджером перед отправкой окончательного предложения.</w:t>
      </w:r>
    </w:p>
    <w:p>
      <w:r>
        <w:rPr>
          <w:b w:val="0"/>
        </w:rPr>
        <w:t>Бесплатное приложение, профессиональный агент с помесячной оплатой и отдельный кабинет с оплатой выполненных задач — разные условия использования. Бесплатное скачивание не означает бесплатную работу подключённого профессионального агента.</w:t>
      </w:r>
    </w:p>
    <w:p>
      <w:pPr>
        <w:pStyle w:val="Heading1"/>
      </w:pPr>
      <w:r>
        <w:t>03. Подписка на три месяца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/>
        </w:trPr>
        <w:tc>
          <w:tcPr>
            <w:tcW w:type="dxa" w:w="3437"/>
          </w:tcPr>
          <w:p>
            <w:r>
              <w:rPr>
                <w:b/>
                <w:sz w:val="18"/>
              </w:rPr>
              <w:t>Период</w:t>
            </w:r>
          </w:p>
        </w:tc>
        <w:tc>
          <w:tcPr>
            <w:tcW w:type="dxa" w:w="3437"/>
          </w:tcPr>
          <w:p>
            <w:r>
              <w:rPr>
                <w:b/>
                <w:sz w:val="18"/>
              </w:rPr>
              <w:t>Один агент</w:t>
            </w:r>
          </w:p>
        </w:tc>
        <w:tc>
          <w:tcPr>
            <w:tcW w:type="dxa" w:w="3437"/>
          </w:tcPr>
          <w:p>
            <w:r>
              <w:rPr>
                <w:b/>
                <w:sz w:val="18"/>
              </w:rPr>
              <w:t>Пять агентов</w:t>
            </w:r>
          </w:p>
        </w:tc>
      </w:tr>
      <w:tr>
        <w:tc>
          <w:tcPr>
            <w:tcW w:type="dxa" w:w="3437"/>
          </w:tcPr>
          <w:p>
            <w:r>
              <w:rPr>
                <w:b w:val="0"/>
                <w:sz w:val="18"/>
              </w:rPr>
              <w:t>Месяц 1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14 990 ₽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74 950 ₽</w:t>
            </w:r>
          </w:p>
        </w:tc>
      </w:tr>
      <w:tr>
        <w:tc>
          <w:tcPr>
            <w:tcW w:type="dxa" w:w="3437"/>
          </w:tcPr>
          <w:p>
            <w:r>
              <w:rPr>
                <w:b w:val="0"/>
                <w:sz w:val="18"/>
              </w:rPr>
              <w:t>Месяц 2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14 990 ₽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74 950 ₽</w:t>
            </w:r>
          </w:p>
        </w:tc>
      </w:tr>
      <w:tr>
        <w:tc>
          <w:tcPr>
            <w:tcW w:type="dxa" w:w="3437"/>
          </w:tcPr>
          <w:p>
            <w:r>
              <w:rPr>
                <w:b w:val="0"/>
                <w:sz w:val="18"/>
              </w:rPr>
              <w:t>Месяц 3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14 990 ₽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74 950 ₽</w:t>
            </w:r>
          </w:p>
        </w:tc>
      </w:tr>
      <w:tr>
        <w:tc>
          <w:tcPr>
            <w:tcW w:type="dxa" w:w="3437"/>
          </w:tcPr>
          <w:p>
            <w:r>
              <w:rPr>
                <w:b w:val="0"/>
                <w:sz w:val="18"/>
              </w:rPr>
              <w:t>Итого за три месяца*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44 970 ₽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224 850 ₽</w:t>
            </w:r>
          </w:p>
        </w:tc>
      </w:tr>
    </w:tbl>
    <w:p/>
    <w:p>
      <w:r>
        <w:rPr>
          <w:b w:val="0"/>
        </w:rPr>
        <w:t>*Только подписка при расчётной ставке 14 990 ₽ за одного агента в месяц. Формулы: 14 990 × 1 × 3 = 44 970 ₽; 14 990 × 5 × 3 = 224 850 ₽.</w:t>
      </w:r>
    </w:p>
    <w:p>
      <w:r>
        <w:rPr>
          <w:b w:val="0"/>
        </w:rPr>
        <w:t>Допущения: все выбранные агенты подключены с первого месяца, работают три полных месяца, цена не меняется, оплата помесячная. Скидки, годовая предоплата, льготный период и бесплатный пилот не предполагаются. Пять агентов рассчитаны по одной исходной ставке без скидки за количество; отдельное предложение для сети пока не получено.</w:t>
      </w:r>
    </w:p>
    <w:p>
      <w:r>
        <w:rPr>
          <w:b/>
        </w:rPr>
        <w:t>Полный бюджет = подписка + согласованная стоимость запуска + дополнительные работы и расходные услуги.</w:t>
      </w:r>
      <w:r>
        <w:rPr>
          <w:b w:val="0"/>
        </w:rPr>
        <w:t xml:space="preserve"> Последние составляющие пока неизвестны. Поэтому полный бюджет первого месяца и трёх месяцев — </w:t>
      </w:r>
      <w:r>
        <w:rPr>
          <w:b/>
        </w:rPr>
        <w:t>уточняется</w:t>
      </w:r>
      <w:r>
        <w:rPr>
          <w:b w:val="0"/>
        </w:rPr>
        <w:t xml:space="preserve"> для обоих вариантов. Налоговые условия и состав документов также подтверждаются в счёте; самостоятельно НДС к опубликованным ценам не добавлен.</w:t>
      </w:r>
    </w:p>
    <w:p>
      <w:pPr>
        <w:pStyle w:val="Heading1"/>
      </w:pPr>
      <w:r>
        <w:t>04. Пять задач управляющей команды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3437"/>
        <w:gridCol w:w="3437"/>
        <w:gridCol w:w="3437"/>
      </w:tblGrid>
      <w:tr>
        <w:trPr>
          <w:tblHeader/>
        </w:trPr>
        <w:tc>
          <w:tcPr>
            <w:tcW w:type="dxa" w:w="3437"/>
          </w:tcPr>
          <w:p>
            <w:r>
              <w:rPr>
                <w:b/>
                <w:sz w:val="18"/>
              </w:rPr>
              <w:t>Задача</w:t>
            </w:r>
          </w:p>
        </w:tc>
        <w:tc>
          <w:tcPr>
            <w:tcW w:type="dxa" w:w="3437"/>
          </w:tcPr>
          <w:p>
            <w:r>
              <w:rPr>
                <w:b/>
                <w:sz w:val="18"/>
              </w:rPr>
              <w:t>Что получает управляющий</w:t>
            </w:r>
          </w:p>
        </w:tc>
        <w:tc>
          <w:tcPr>
            <w:tcW w:type="dxa" w:w="3437"/>
          </w:tcPr>
          <w:p>
            <w:r>
              <w:rPr>
                <w:b/>
                <w:sz w:val="18"/>
              </w:rPr>
              <w:t>Что проверяем при приёмке</w:t>
            </w:r>
          </w:p>
        </w:tc>
      </w:tr>
      <w:tr>
        <w:tc>
          <w:tcPr>
            <w:tcW w:type="dxa" w:w="3437"/>
          </w:tcPr>
          <w:p>
            <w:r>
              <w:rPr>
                <w:b w:val="0"/>
                <w:sz w:val="18"/>
              </w:rPr>
              <w:t>Контент-план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План на месяц: даты, темы, рубрики, тезисы и задания на материалы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Каждая публикация опирается на согласованные услуги, цены и предложения сети</w:t>
            </w:r>
          </w:p>
        </w:tc>
      </w:tr>
      <w:tr>
        <w:tc>
          <w:tcPr>
            <w:tcW w:type="dxa" w:w="3437"/>
          </w:tcPr>
          <w:p>
            <w:r>
              <w:rPr>
                <w:b w:val="0"/>
                <w:sz w:val="18"/>
              </w:rPr>
              <w:t>Ответы на отзывы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Черновики ответов с учётом текста отзыва и правил общения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Нет выдуманных обстоятельств, обещаний компенсации и раскрытия данных клиента</w:t>
            </w:r>
          </w:p>
        </w:tc>
      </w:tr>
      <w:tr>
        <w:tc>
          <w:tcPr>
            <w:tcW w:type="dxa" w:w="3437"/>
          </w:tcPr>
          <w:p>
            <w:r>
              <w:rPr>
                <w:b w:val="0"/>
                <w:sz w:val="18"/>
              </w:rPr>
              <w:t>Инструкции администраторам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Пошаговые памятки по согласованным процессам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Порядок соответствует правилам сети; указаны ответственный и случаи передачи управляющему</w:t>
            </w:r>
          </w:p>
        </w:tc>
      </w:tr>
      <w:tr>
        <w:tc>
          <w:tcPr>
            <w:tcW w:type="dxa" w:w="3437"/>
          </w:tcPr>
          <w:p>
            <w:r>
              <w:rPr>
                <w:b w:val="0"/>
                <w:sz w:val="18"/>
              </w:rPr>
              <w:t>Разбор обезличенной выгрузки записей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Таблица по салонам и периодам, пропуски и дубли, пояснения к расчётам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Итоги сверяются с исходными строками; ошибки данных отделены от бизнес-выводов</w:t>
            </w:r>
          </w:p>
        </w:tc>
      </w:tr>
      <w:tr>
        <w:tc>
          <w:tcPr>
            <w:tcW w:type="dxa" w:w="3437"/>
          </w:tcPr>
          <w:p>
            <w:r>
              <w:rPr>
                <w:b w:val="0"/>
                <w:sz w:val="18"/>
              </w:rPr>
              <w:t>Сводка по сети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Короткий документ: подтверждённые факты, открытые вопросы и задачи</w:t>
            </w:r>
          </w:p>
        </w:tc>
        <w:tc>
          <w:tcPr>
            <w:tcW w:type="dxa" w:w="3437"/>
          </w:tcPr>
          <w:p>
            <w:r>
              <w:rPr>
                <w:b w:val="0"/>
                <w:sz w:val="18"/>
              </w:rPr>
              <w:t>У каждого числа есть источник и период; недостаток данных указан явно</w:t>
            </w:r>
          </w:p>
        </w:tc>
      </w:tr>
    </w:tbl>
    <w:p/>
    <w:p>
      <w:r>
        <w:rPr>
          <w:b w:val="0"/>
        </w:rPr>
        <w:t>Пилот работает с переданными материалами и файлами. Подключение к системе записи или CRM рассматривается только после проверки конкретной системы, прав и технической возможности. Готовая интеграция заранее не обещается.</w:t>
      </w:r>
    </w:p>
    <w:p>
      <w:pPr>
        <w:pStyle w:val="Heading1"/>
      </w:pPr>
      <w:r>
        <w:t>05. Как проходит пилот</w:t>
      </w:r>
    </w:p>
    <w:p>
      <w:r>
        <w:rPr>
          <w:b/>
        </w:rPr>
        <w:t>Предлагаемый срок — 10 рабочих дней после получения материалов и согласования объёма.</w:t>
      </w:r>
      <w:r>
        <w:rPr>
          <w:b w:val="0"/>
        </w:rPr>
        <w:t xml:space="preserve"> Это план пилота, а не опубликованная гарантия поставщика. Заявленные на /app 24 часа относятся к установке и подключению агента, а не к завершению всех работ по сети.</w:t>
      </w:r>
    </w:p>
    <w:p>
      <w:pPr>
        <w:pStyle w:val="ListNumber"/>
      </w:pPr>
      <w:r>
        <w:rPr>
          <w:b/>
        </w:rPr>
        <w:t>Дни 1–2: согласовать границы.</w:t>
      </w:r>
      <w:r>
        <w:rPr>
          <w:b w:val="0"/>
        </w:rPr>
        <w:t xml:space="preserve"> Назначить ответственного, выбрать один рабочий процесс первым, описать результат, права и лимиты. Подтвердить цену и состав запуска.</w:t>
      </w:r>
    </w:p>
    <w:p>
      <w:pPr>
        <w:pStyle w:val="ListNumber"/>
      </w:pPr>
      <w:r>
        <w:rPr>
          <w:b/>
        </w:rPr>
        <w:t>Дни 3–5: проверить первую задачу.</w:t>
      </w:r>
      <w:r>
        <w:rPr>
          <w:b w:val="0"/>
        </w:rPr>
        <w:t xml:space="preserve"> Передать ограниченный набор материалов, получить результат, проверить его по согласованному образцу и зафиксировать правки.</w:t>
      </w:r>
    </w:p>
    <w:p>
      <w:pPr>
        <w:pStyle w:val="ListNumber"/>
      </w:pPr>
      <w:r>
        <w:rPr>
          <w:b/>
        </w:rPr>
        <w:t>Дни 6–8: проверить остальные задачи.</w:t>
      </w:r>
      <w:r>
        <w:rPr>
          <w:b w:val="0"/>
        </w:rPr>
        <w:t xml:space="preserve"> На материалах заказчика подготовить ещё четыре результата из списка выше. Фиксировать время подготовки, проверки человеком и число существенных исправлений.</w:t>
      </w:r>
    </w:p>
    <w:p>
      <w:pPr>
        <w:pStyle w:val="ListNumber"/>
      </w:pPr>
      <w:r>
        <w:rPr>
          <w:b/>
        </w:rPr>
        <w:t>Дни 9–10: принять решение.</w:t>
      </w:r>
      <w:r>
        <w:rPr>
          <w:b w:val="0"/>
        </w:rPr>
        <w:t xml:space="preserve"> Управляющий принимает пять результатов, утверждает рабочие правила и решает: продолжить с одним агентом, изменить объём или отдельно обсудить пять агентов.</w:t>
      </w:r>
    </w:p>
    <w:p>
      <w:r>
        <w:rPr>
          <w:b w:val="0"/>
        </w:rPr>
        <w:t>Критерий завершения пилота: пять проверенных результатов, сохранённые исходники и правила, воспроизводимый расчёт таблиц, понятный порядок согласования действий. Если критерий не выполнен, фиксируем конкретный недочёт и следующий шаг. Объём исправлений и условия дальнейшей работы согласуются до старта. Рост выручки, замена сотрудников и экономия в рублях здесь не заявлены.</w:t>
      </w:r>
    </w:p>
    <w:p>
      <w:pPr>
        <w:pStyle w:val="Heading1"/>
      </w:pPr>
      <w:r>
        <w:t>06. Что нужно от заказчика</w:t>
      </w:r>
    </w:p>
    <w:p>
      <w:pPr>
        <w:pStyle w:val="ListBullet"/>
      </w:pPr>
      <w:r>
        <w:rPr>
          <w:b w:val="0"/>
        </w:rPr>
        <w:t>Название сети, адрес сайта и публичных страниц; список пяти салонов и ответственный за пилот.</w:t>
      </w:r>
    </w:p>
    <w:p>
      <w:pPr>
        <w:pStyle w:val="ListBullet"/>
      </w:pPr>
      <w:r>
        <w:rPr>
          <w:b w:val="0"/>
        </w:rPr>
        <w:t>Актуальные услуги, цены, акции, стиль общения и примеры одобренных материалов.</w:t>
      </w:r>
    </w:p>
    <w:p>
      <w:pPr>
        <w:pStyle w:val="ListBullet"/>
      </w:pPr>
      <w:r>
        <w:rPr>
          <w:b w:val="0"/>
        </w:rPr>
        <w:t>Несколько отзывов для подготовки ответов и действующие инструкции администраторам.</w:t>
      </w:r>
    </w:p>
    <w:p>
      <w:pPr>
        <w:pStyle w:val="ListBullet"/>
      </w:pPr>
      <w:r>
        <w:rPr>
          <w:b w:val="0"/>
        </w:rPr>
        <w:t>Обезличенная выгрузка записей: код салона, дата, услуга, статус; суммы — только если нужны для выбранного расчёта. ФИО, телефоны и сведения о здоровье для этого пилота не нужны.</w:t>
      </w:r>
    </w:p>
    <w:p>
      <w:pPr>
        <w:pStyle w:val="ListBullet"/>
      </w:pPr>
      <w:r>
        <w:rPr>
          <w:b w:val="0"/>
        </w:rPr>
        <w:t>Названия действующих систем, способ выгрузки, желаемые права доступа, порядок согласования и предел дополнительных расходов.</w:t>
      </w:r>
    </w:p>
    <w:p>
      <w:pPr>
        <w:pStyle w:val="Heading1"/>
      </w:pPr>
      <w:r>
        <w:t>07. Что требует согласования</w:t>
      </w:r>
    </w:p>
    <w:p>
      <w:r>
        <w:rPr>
          <w:b w:val="0"/>
        </w:rPr>
        <w:t>Публикация постов и ответов на отзывы, рассылка клиентам, изменение записей и данных в системах, подключение новых доступов, запуск рекламы и любые дополнительные расходы — только после отдельного согласования действия и объёма. В пилоте по умолчанию готовятся черновики и отчёты; управляющий проверяет их перед использованием.</w:t>
      </w:r>
    </w:p>
    <w:p>
      <w:pPr>
        <w:pStyle w:val="Heading1"/>
      </w:pPr>
      <w:r>
        <w:t>08. Следующий шаг и источники</w:t>
      </w:r>
    </w:p>
    <w:p>
      <w:r>
        <w:rPr>
          <w:b w:val="0"/>
        </w:rPr>
        <w:t xml:space="preserve">Передать бриф по пяти салонам, согласовать одну первую задачу и уточнить окончательную стоимость у ВайбМаркетолога. Для обсуждения — </w:t>
      </w:r>
      <w:hyperlink r:id="rId10">
        <w:r>
          <w:rPr>
            <w:color w:val="7043AA"/>
          </w:rPr>
          <w:t>форма на странице приложения</w:t>
        </w:r>
      </w:hyperlink>
      <w:r>
        <w:rPr>
          <w:b w:val="0"/>
        </w:rPr>
        <w:t>. Это переход к обсуждению, не оплата и не автоматический запуск.</w:t>
      </w:r>
    </w:p>
    <w:p>
      <w:r>
        <w:rPr>
          <w:b/>
        </w:rPr>
        <w:t>Источники проверены 16 октября 2026 года:</w:t>
      </w:r>
    </w:p>
    <w:p>
      <w:pPr>
        <w:pStyle w:val="ListBullet"/>
      </w:pPr>
      <w:hyperlink r:id="rId9">
        <w:r>
          <w:rPr>
            <w:color w:val="7043AA"/>
          </w:rPr>
          <w:t>ВайбАгент: приложение, тариф и вопросы об оплате</w:t>
        </w:r>
      </w:hyperlink>
      <w:r>
        <w:rPr>
          <w:b w:val="0"/>
        </w:rPr>
        <w:t xml:space="preserve"> — бесплатное приложение, нижняя цена подписки, порядок подключения и отдельный рекламный бюджет.</w:t>
      </w:r>
    </w:p>
    <w:p>
      <w:pPr>
        <w:pStyle w:val="ListBullet"/>
      </w:pPr>
      <w:hyperlink r:id="rId11">
        <w:r>
          <w:rPr>
            <w:color w:val="7043AA"/>
          </w:rPr>
          <w:t>ВайбМаркетолог: профессиональный агент и внедрение</w:t>
        </w:r>
      </w:hyperlink>
      <w:r>
        <w:rPr>
          <w:b w:val="0"/>
        </w:rPr>
        <w:t xml:space="preserve"> — профессиональная линейка, различающиеся ценовые блоки, индивидуальные работы и отдельная оплата генераций.</w:t>
      </w:r>
    </w:p>
    <w:p>
      <w:r>
        <w:rPr>
          <w:b w:val="0"/>
        </w:rPr>
        <w:t>Название сети, её показатели и системы не предоставлены. Предложенные задачи и этапы — проект пилота для обсуждения; расчёт использует публичные ориентиры. Материал сохранён для менеджера, потенциальному клиенту не отправлен.</w:t>
      </w:r>
    </w:p>
    <w:sectPr w:rsidR="00FC693F" w:rsidRPr="0006063C" w:rsidSect="00034616"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1F1A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1F1A3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libri" w:hAnsi="Calibri"/>
      <w:color w:val="1F1A33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vibemarketolog.ru/app" TargetMode="External"/><Relationship Id="rId10" Type="http://schemas.openxmlformats.org/officeDocument/2006/relationships/hyperlink" Target="https://vibemarketolog.ru/app#lead" TargetMode="External"/><Relationship Id="rId11" Type="http://schemas.openxmlformats.org/officeDocument/2006/relationships/hyperlink" Target="https://vibemarketolog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ВайбАгент для сети из пяти салонов</dc:title>
  <dc:subject/>
  <dc:creator>ВайбМаркетолог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